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94424E" w:rsidP="00D44968">
            <w:pPr>
              <w:suppressLineNumbers/>
              <w:jc w:val="both"/>
              <w:rPr>
                <w:rFonts w:ascii="Arial" w:hAnsi="Arial"/>
                <w:b/>
                <w:bCs/>
                <w:sz w:val="26"/>
                <w:szCs w:val="26"/>
                <w:rtl/>
              </w:rPr>
            </w:pPr>
            <w:bookmarkStart w:id="0" w:name="_GoBack"/>
            <w:bookmarkEnd w:id="0"/>
            <w:r w:rsidRPr="00DD05A8">
              <w:rPr>
                <w:rFonts w:ascii="Arial" w:hAnsi="Arial" w:hint="cs"/>
                <w:b/>
                <w:bCs/>
                <w:sz w:val="26"/>
                <w:szCs w:val="26"/>
                <w:rtl/>
              </w:rPr>
              <w:t>ב</w:t>
            </w:r>
            <w:r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שופטת</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אספרנצה אלון</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EC38F4" w:rsidRDefault="002720CB">
            <w:pPr>
              <w:suppressLineNumbers/>
              <w:rPr>
                <w:rFonts w:ascii="Arial" w:hAnsi="Arial"/>
                <w:b/>
                <w:bCs/>
                <w:noProof w:val="0"/>
                <w:sz w:val="26"/>
                <w:szCs w:val="26"/>
                <w:rtl/>
              </w:rPr>
            </w:pPr>
            <w:r>
              <w:rPr>
                <w:rFonts w:ascii="Arial" w:hAnsi="Arial" w:hint="cs"/>
                <w:b/>
                <w:bCs/>
                <w:noProof w:val="0"/>
                <w:sz w:val="26"/>
                <w:szCs w:val="26"/>
                <w:rtl/>
              </w:rPr>
              <w:t>המבקשת</w:t>
            </w:r>
          </w:p>
        </w:tc>
        <w:tc>
          <w:tcPr>
            <w:tcW w:w="5571" w:type="dxa"/>
          </w:tcPr>
          <w:p w:rsidR="0094424E" w:rsidRDefault="00B859C5" w:rsidP="00A70F1F">
            <w:pPr>
              <w:suppressLineNumbers/>
              <w:rPr>
                <w:b/>
                <w:bCs/>
                <w:noProof w:val="0"/>
                <w:sz w:val="26"/>
                <w:szCs w:val="26"/>
              </w:rPr>
            </w:pPr>
            <w:r>
              <w:rPr>
                <w:rFonts w:ascii="Arial" w:hAnsi="Arial" w:hint="eastAsia"/>
                <w:b/>
                <w:bCs/>
                <w:noProof w:val="0"/>
                <w:sz w:val="26"/>
                <w:szCs w:val="26"/>
                <w:rtl/>
              </w:rPr>
              <w:t>ר</w:t>
            </w:r>
            <w:r w:rsidR="00A70F1F">
              <w:rPr>
                <w:rFonts w:ascii="Arial" w:hAnsi="Arial" w:hint="cs"/>
                <w:b/>
                <w:bCs/>
                <w:noProof w:val="0"/>
                <w:sz w:val="26"/>
                <w:szCs w:val="26"/>
                <w:rtl/>
              </w:rPr>
              <w:t>'</w:t>
            </w:r>
            <w:r w:rsidR="0046493D">
              <w:rPr>
                <w:rFonts w:ascii="Arial" w:hAnsi="Arial" w:hint="cs"/>
                <w:b/>
                <w:bCs/>
                <w:noProof w:val="0"/>
                <w:sz w:val="26"/>
                <w:szCs w:val="26"/>
                <w:rtl/>
              </w:rPr>
              <w:t xml:space="preserve"> - ע'</w:t>
            </w:r>
            <w:r w:rsidR="00A70F1F">
              <w:rPr>
                <w:rFonts w:ascii="Arial" w:hAnsi="Arial" w:hint="cs"/>
                <w:b/>
                <w:bCs/>
                <w:noProof w:val="0"/>
                <w:sz w:val="26"/>
                <w:szCs w:val="26"/>
                <w:rtl/>
              </w:rPr>
              <w:t xml:space="preserve"> </w:t>
            </w:r>
            <w:r>
              <w:rPr>
                <w:rFonts w:ascii="Arial" w:hAnsi="Arial"/>
                <w:b/>
                <w:bCs/>
                <w:noProof w:val="0"/>
                <w:sz w:val="26"/>
                <w:szCs w:val="26"/>
                <w:rtl/>
              </w:rPr>
              <w:t>ע"י ב"כ עוה"ד</w:t>
            </w:r>
            <w:r w:rsidR="00545020">
              <w:rPr>
                <w:rFonts w:hint="cs"/>
                <w:b/>
                <w:bCs/>
                <w:noProof w:val="0"/>
                <w:sz w:val="26"/>
                <w:szCs w:val="26"/>
                <w:rtl/>
              </w:rPr>
              <w:t xml:space="preserve"> רון אביב</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042FE8" w:rsidP="009E461A">
            <w:pPr>
              <w:suppressLineNumbers/>
              <w:rPr>
                <w:rFonts w:ascii="Arial" w:hAnsi="Arial"/>
                <w:b/>
                <w:bCs/>
                <w:noProof w:val="0"/>
                <w:sz w:val="26"/>
                <w:szCs w:val="26"/>
              </w:rPr>
            </w:pPr>
            <w:sdt>
              <w:sdtPr>
                <w:rPr>
                  <w:rtl/>
                </w:rPr>
                <w:alias w:val="1184"/>
                <w:tag w:val="1184"/>
                <w:id w:val="-340621022"/>
                <w:text w:multiLine="1"/>
              </w:sdtPr>
              <w:sdtEndPr/>
              <w:sdtContent>
                <w:r w:rsidR="002720CB">
                  <w:rPr>
                    <w:rFonts w:ascii="Arial" w:hAnsi="Arial" w:hint="cs"/>
                    <w:b/>
                    <w:bCs/>
                    <w:noProof w:val="0"/>
                    <w:sz w:val="26"/>
                    <w:szCs w:val="26"/>
                    <w:rtl/>
                  </w:rPr>
                  <w:t>המ</w:t>
                </w:r>
                <w:r w:rsidR="00B859C5">
                  <w:rPr>
                    <w:rFonts w:ascii="Arial" w:hAnsi="Arial"/>
                    <w:b/>
                    <w:bCs/>
                    <w:noProof w:val="0"/>
                    <w:sz w:val="26"/>
                    <w:szCs w:val="26"/>
                    <w:rtl/>
                  </w:rPr>
                  <w:t>שיבים</w:t>
                </w:r>
              </w:sdtContent>
            </w:sdt>
          </w:p>
        </w:tc>
        <w:tc>
          <w:tcPr>
            <w:tcW w:w="5571" w:type="dxa"/>
          </w:tcPr>
          <w:p w:rsidR="00CF6BB7" w:rsidRDefault="00545020" w:rsidP="00A70F1F">
            <w:pPr>
              <w:suppressLineNumbers/>
              <w:rPr>
                <w:rtl/>
              </w:rPr>
            </w:pPr>
            <w:r w:rsidRPr="00545020">
              <w:rPr>
                <w:rFonts w:ascii="Arial" w:hAnsi="Arial" w:hint="cs"/>
                <w:b/>
                <w:bCs/>
                <w:noProof w:val="0"/>
                <w:sz w:val="26"/>
                <w:szCs w:val="26"/>
                <w:rtl/>
              </w:rPr>
              <w:t>1</w:t>
            </w:r>
            <w:r>
              <w:rPr>
                <w:rFonts w:ascii="Arial" w:hAnsi="Arial" w:hint="cs"/>
                <w:b/>
                <w:bCs/>
                <w:noProof w:val="0"/>
                <w:sz w:val="26"/>
                <w:szCs w:val="26"/>
                <w:rtl/>
              </w:rPr>
              <w:t>.</w:t>
            </w:r>
            <w:r>
              <w:rPr>
                <w:rFonts w:ascii="Arial" w:hAnsi="Arial" w:hint="cs"/>
                <w:b/>
                <w:bCs/>
                <w:sz w:val="26"/>
                <w:szCs w:val="26"/>
                <w:rtl/>
              </w:rPr>
              <w:t xml:space="preserve"> </w:t>
            </w:r>
            <w:sdt>
              <w:sdtPr>
                <w:rPr>
                  <w:rFonts w:ascii="Arial" w:hAnsi="Arial" w:hint="cs"/>
                  <w:b/>
                  <w:bCs/>
                  <w:sz w:val="26"/>
                  <w:szCs w:val="26"/>
                  <w:rtl/>
                </w:rPr>
                <w:alias w:val="3152"/>
                <w:tag w:val="3152"/>
                <w:id w:val="1920052440"/>
                <w:placeholder>
                  <w:docPart w:val="C3B0FBA23B684176B12DDEEA2C39785F"/>
                </w:placeholder>
                <w:text w:multiLine="1"/>
              </w:sdtPr>
              <w:sdtEndPr/>
              <w:sdtContent>
                <w:r w:rsidR="00B859C5" w:rsidRPr="00545020">
                  <w:rPr>
                    <w:rFonts w:ascii="Arial" w:hAnsi="Arial" w:hint="eastAsia"/>
                    <w:b/>
                    <w:bCs/>
                    <w:sz w:val="26"/>
                    <w:szCs w:val="26"/>
                    <w:rtl/>
                  </w:rPr>
                  <w:t>ע</w:t>
                </w:r>
                <w:r w:rsidR="00A70F1F">
                  <w:rPr>
                    <w:rFonts w:ascii="Arial" w:hAnsi="Arial" w:hint="cs"/>
                    <w:b/>
                    <w:bCs/>
                    <w:sz w:val="26"/>
                    <w:szCs w:val="26"/>
                    <w:rtl/>
                  </w:rPr>
                  <w:t>'</w:t>
                </w:r>
              </w:sdtContent>
            </w:sdt>
            <w:r>
              <w:rPr>
                <w:rFonts w:hint="cs"/>
                <w:rtl/>
              </w:rPr>
              <w:t xml:space="preserve"> </w:t>
            </w:r>
          </w:p>
          <w:p w:rsidR="00545020" w:rsidRPr="009E461A" w:rsidRDefault="00545020" w:rsidP="00545020">
            <w:pPr>
              <w:rPr>
                <w:rtl/>
              </w:rPr>
            </w:pPr>
          </w:p>
          <w:p w:rsidR="00CF6BB7" w:rsidRPr="009E461A" w:rsidRDefault="00042FE8" w:rsidP="00A70F1F">
            <w:pPr>
              <w:suppressLineNumbers/>
              <w:rPr>
                <w:rtl/>
              </w:rPr>
            </w:pPr>
            <w:sdt>
              <w:sdtPr>
                <w:rPr>
                  <w:rtl/>
                </w:rPr>
                <w:alias w:val="1571"/>
                <w:tag w:val="1571"/>
                <w:id w:val="-954176855"/>
                <w:text w:multiLine="1"/>
              </w:sdtPr>
              <w:sdtEndPr/>
              <w:sdtContent>
                <w:r w:rsidR="00B859C5">
                  <w:rPr>
                    <w:rFonts w:ascii="Arial" w:hAnsi="Arial"/>
                    <w:b/>
                    <w:bCs/>
                    <w:noProof w:val="0"/>
                    <w:sz w:val="26"/>
                    <w:szCs w:val="26"/>
                    <w:rtl/>
                  </w:rPr>
                  <w:t>2</w:t>
                </w:r>
              </w:sdtContent>
            </w:sdt>
            <w:r w:rsidR="0094424E">
              <w:rPr>
                <w:rFonts w:ascii="Arial" w:hAnsi="Arial"/>
                <w:b/>
                <w:bCs/>
                <w:noProof w:val="0"/>
                <w:sz w:val="26"/>
                <w:szCs w:val="26"/>
                <w:rtl/>
              </w:rPr>
              <w:t>.</w:t>
            </w:r>
            <w:r w:rsidR="007C2453">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997641120"/>
                <w:placeholder>
                  <w:docPart w:val="C3B0FBA23B684176B12DDEEA2C39785F"/>
                </w:placeholder>
                <w:text w:multiLine="1"/>
              </w:sdtPr>
              <w:sdtEndPr/>
              <w:sdtContent>
                <w:r w:rsidR="00B859C5">
                  <w:rPr>
                    <w:rFonts w:ascii="Arial" w:hAnsi="Arial" w:hint="eastAsia"/>
                    <w:b/>
                    <w:bCs/>
                    <w:noProof w:val="0"/>
                    <w:sz w:val="26"/>
                    <w:szCs w:val="26"/>
                    <w:rtl/>
                  </w:rPr>
                  <w:t>נ</w:t>
                </w:r>
                <w:r w:rsidR="00A70F1F">
                  <w:rPr>
                    <w:rFonts w:ascii="Arial" w:hAnsi="Arial" w:hint="cs"/>
                    <w:b/>
                    <w:bCs/>
                    <w:noProof w:val="0"/>
                    <w:sz w:val="26"/>
                    <w:szCs w:val="26"/>
                    <w:rtl/>
                  </w:rPr>
                  <w:t>' (</w:t>
                </w:r>
                <w:r w:rsidR="00B859C5">
                  <w:rPr>
                    <w:rFonts w:ascii="Arial" w:hAnsi="Arial" w:hint="eastAsia"/>
                    <w:b/>
                    <w:bCs/>
                    <w:noProof w:val="0"/>
                    <w:sz w:val="26"/>
                    <w:szCs w:val="26"/>
                    <w:rtl/>
                  </w:rPr>
                  <w:t>כונסת נכסים)</w:t>
                </w:r>
              </w:sdtContent>
            </w:sdt>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D44968" w:rsidRPr="00D44968" w:rsidRDefault="003E38C7" w:rsidP="002720CB">
            <w:pPr>
              <w:bidi w:val="0"/>
              <w:jc w:val="center"/>
              <w:rPr>
                <w:rFonts w:ascii="Arial" w:hAnsi="Arial"/>
                <w:b/>
                <w:bCs/>
                <w:noProof w:val="0"/>
                <w:sz w:val="28"/>
                <w:szCs w:val="28"/>
                <w:u w:val="single"/>
              </w:rPr>
            </w:pPr>
            <w:r>
              <w:rPr>
                <w:rFonts w:ascii="Arial" w:hAnsi="Arial" w:hint="cs"/>
                <w:b/>
                <w:bCs/>
                <w:noProof w:val="0"/>
                <w:sz w:val="28"/>
                <w:szCs w:val="28"/>
                <w:u w:val="single"/>
                <w:rtl/>
              </w:rPr>
              <w:t>פסק דין</w:t>
            </w:r>
          </w:p>
        </w:tc>
      </w:tr>
    </w:tbl>
    <w:p w:rsidR="00545020" w:rsidRDefault="00545020">
      <w:pPr>
        <w:spacing w:line="360" w:lineRule="auto"/>
        <w:jc w:val="both"/>
        <w:rPr>
          <w:rFonts w:ascii="Arial" w:hAnsi="Arial"/>
          <w:noProof w:val="0"/>
          <w:rtl/>
        </w:rPr>
      </w:pPr>
      <w:bookmarkStart w:id="1" w:name="NGCSBookmark"/>
      <w:bookmarkEnd w:id="1"/>
    </w:p>
    <w:p w:rsidR="00545020" w:rsidRPr="00545020" w:rsidRDefault="00545020" w:rsidP="00545020">
      <w:pPr>
        <w:pStyle w:val="ad"/>
        <w:numPr>
          <w:ilvl w:val="0"/>
          <w:numId w:val="1"/>
        </w:numPr>
        <w:spacing w:line="360" w:lineRule="auto"/>
        <w:ind w:left="368"/>
        <w:jc w:val="both"/>
        <w:rPr>
          <w:rFonts w:ascii="David" w:hAnsi="David" w:cs="David"/>
          <w:sz w:val="24"/>
          <w:szCs w:val="24"/>
          <w:rtl/>
        </w:rPr>
      </w:pPr>
      <w:r w:rsidRPr="00545020">
        <w:rPr>
          <w:rFonts w:ascii="David" w:hAnsi="David" w:cs="David"/>
          <w:sz w:val="24"/>
          <w:szCs w:val="24"/>
          <w:rtl/>
        </w:rPr>
        <w:t>לפניי בקשת רשות ערעור על החלטת בית המשפט לענייני משפחה בחדרה (כב' השופטת הדס גולדקורן) בתלה"מ 43569-07-21 (להלן: "</w:t>
      </w:r>
      <w:r w:rsidRPr="00545020">
        <w:rPr>
          <w:rFonts w:ascii="David" w:hAnsi="David" w:cs="David"/>
          <w:b/>
          <w:bCs/>
          <w:sz w:val="24"/>
          <w:szCs w:val="24"/>
          <w:rtl/>
        </w:rPr>
        <w:t>בית משפט קמא</w:t>
      </w:r>
      <w:r w:rsidRPr="00545020">
        <w:rPr>
          <w:rFonts w:ascii="David" w:hAnsi="David" w:cs="David"/>
          <w:sz w:val="24"/>
          <w:szCs w:val="24"/>
          <w:rtl/>
        </w:rPr>
        <w:t>") שניתנה ביום 26.01.2023 בגדרה נקבע כי בשכר טרחת כונסת הנכסים יישא המשיב ב-3% והמבקשת תישא ב-1% הנותר (להלן: "</w:t>
      </w:r>
      <w:r w:rsidRPr="00545020">
        <w:rPr>
          <w:rFonts w:ascii="David" w:hAnsi="David" w:cs="David"/>
          <w:b/>
          <w:bCs/>
          <w:sz w:val="24"/>
          <w:szCs w:val="24"/>
          <w:rtl/>
        </w:rPr>
        <w:t>החלטת בית משפט קמא</w:t>
      </w:r>
      <w:r w:rsidRPr="00545020">
        <w:rPr>
          <w:rFonts w:ascii="David" w:hAnsi="David" w:cs="David"/>
          <w:sz w:val="24"/>
          <w:szCs w:val="24"/>
          <w:rtl/>
        </w:rPr>
        <w:t>" ו/או "</w:t>
      </w:r>
      <w:r w:rsidRPr="00545020">
        <w:rPr>
          <w:rFonts w:ascii="David" w:hAnsi="David" w:cs="David"/>
          <w:b/>
          <w:bCs/>
          <w:sz w:val="24"/>
          <w:szCs w:val="24"/>
          <w:rtl/>
        </w:rPr>
        <w:t>ההחלטה</w:t>
      </w:r>
      <w:r w:rsidRPr="00545020">
        <w:rPr>
          <w:rFonts w:ascii="David" w:hAnsi="David" w:cs="David"/>
          <w:sz w:val="24"/>
          <w:szCs w:val="24"/>
          <w:rtl/>
        </w:rPr>
        <w:t xml:space="preserve">"). </w:t>
      </w:r>
    </w:p>
    <w:p w:rsidR="00545020" w:rsidRDefault="00545020" w:rsidP="00545020">
      <w:pPr>
        <w:pStyle w:val="ad"/>
        <w:spacing w:line="360" w:lineRule="auto"/>
        <w:jc w:val="both"/>
        <w:rPr>
          <w:rFonts w:ascii="David" w:hAnsi="David" w:cs="David"/>
          <w:sz w:val="24"/>
          <w:szCs w:val="24"/>
        </w:rPr>
      </w:pPr>
    </w:p>
    <w:p w:rsidR="00545020" w:rsidRDefault="00545020" w:rsidP="00545020">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וכך נימק בית משפט קמא את קביעתו:</w:t>
      </w:r>
    </w:p>
    <w:p w:rsidR="00545020" w:rsidRDefault="00545020" w:rsidP="00545020">
      <w:pPr>
        <w:pStyle w:val="ad"/>
        <w:spacing w:line="360" w:lineRule="auto"/>
        <w:ind w:left="368"/>
        <w:jc w:val="both"/>
        <w:rPr>
          <w:rFonts w:ascii="David" w:hAnsi="David" w:cs="David"/>
          <w:sz w:val="24"/>
          <w:szCs w:val="24"/>
        </w:rPr>
      </w:pPr>
    </w:p>
    <w:p w:rsidR="00545020" w:rsidRDefault="00545020" w:rsidP="00545020">
      <w:pPr>
        <w:pStyle w:val="ad"/>
        <w:spacing w:after="0" w:line="360" w:lineRule="auto"/>
        <w:ind w:right="284"/>
        <w:jc w:val="both"/>
        <w:rPr>
          <w:rFonts w:ascii="David" w:hAnsi="David" w:cs="David"/>
          <w:b/>
          <w:bCs/>
          <w:sz w:val="24"/>
          <w:szCs w:val="24"/>
          <w:rtl/>
        </w:rPr>
      </w:pPr>
      <w:r>
        <w:rPr>
          <w:rFonts w:ascii="David" w:hAnsi="David" w:cs="David"/>
          <w:b/>
          <w:bCs/>
          <w:sz w:val="24"/>
          <w:szCs w:val="24"/>
          <w:rtl/>
        </w:rPr>
        <w:t>"6. לאחר שעיינתי בטענות הצדדים, בשל התנהלות הנתבע, לרבות, אי קבלת כתבי בי הדין, הימנעות מהגשת תגובות, אי שיתוף פעולה, סירובו לחתימה על הסכם מכר "אגב גירושין", על מנת להימנע מתשלום מס, אשר גרמה להימשכות וסרבול הליך המכר לאורך השנים ומינוי כונס נכסים לשם כך, ובשים לב לעובדה שהנתבע בחר שלא להתייחס בתשובתו לטענות אלו, אני מורה כדלקמן:</w:t>
      </w:r>
    </w:p>
    <w:p w:rsidR="00545020" w:rsidRDefault="00545020" w:rsidP="00545020">
      <w:pPr>
        <w:pStyle w:val="ad"/>
        <w:numPr>
          <w:ilvl w:val="0"/>
          <w:numId w:val="2"/>
        </w:numPr>
        <w:spacing w:after="0" w:line="360" w:lineRule="auto"/>
        <w:ind w:right="426"/>
        <w:jc w:val="both"/>
        <w:rPr>
          <w:rFonts w:ascii="David" w:hAnsi="David" w:cs="David"/>
          <w:b/>
          <w:bCs/>
          <w:sz w:val="24"/>
          <w:szCs w:val="24"/>
          <w:rtl/>
        </w:rPr>
      </w:pPr>
      <w:r>
        <w:rPr>
          <w:rFonts w:ascii="David" w:hAnsi="David" w:cs="David"/>
          <w:b/>
          <w:bCs/>
          <w:sz w:val="24"/>
          <w:szCs w:val="24"/>
          <w:rtl/>
        </w:rPr>
        <w:t xml:space="preserve">שכ"ט כונסת הנכסים יעמוד על שיעור 4% משווי הנכס בצירוף מס ערך מוסף.  </w:t>
      </w:r>
    </w:p>
    <w:p w:rsidR="00545020" w:rsidRDefault="00545020" w:rsidP="00545020">
      <w:pPr>
        <w:pStyle w:val="ad"/>
        <w:numPr>
          <w:ilvl w:val="0"/>
          <w:numId w:val="2"/>
        </w:numPr>
        <w:spacing w:after="0" w:line="360" w:lineRule="auto"/>
        <w:ind w:right="426"/>
        <w:jc w:val="both"/>
        <w:rPr>
          <w:rFonts w:ascii="David" w:hAnsi="David" w:cs="David"/>
          <w:b/>
          <w:bCs/>
          <w:sz w:val="24"/>
          <w:szCs w:val="24"/>
        </w:rPr>
      </w:pPr>
      <w:r>
        <w:rPr>
          <w:rFonts w:ascii="David" w:hAnsi="David" w:cs="David"/>
          <w:b/>
          <w:bCs/>
          <w:sz w:val="24"/>
          <w:szCs w:val="24"/>
          <w:rtl/>
        </w:rPr>
        <w:t xml:space="preserve">בשל התנהלות הנתבע כמפורט לעיל, יש לשנות את האיזון בתשלום שכר הטרחה בין הצדדים ולכן אני מוצאת לנכון לקבוע כי הנתבע יישא ב-3% בתוספת מע"מ משכר הטרחה והתובעת תישא ב-1% בתוספת מע"מ משכר הטרחה.  </w:t>
      </w:r>
    </w:p>
    <w:p w:rsidR="00545020" w:rsidRDefault="00545020" w:rsidP="00545020">
      <w:pPr>
        <w:pStyle w:val="ad"/>
        <w:numPr>
          <w:ilvl w:val="0"/>
          <w:numId w:val="2"/>
        </w:numPr>
        <w:spacing w:after="0" w:line="360" w:lineRule="auto"/>
        <w:ind w:right="426"/>
        <w:jc w:val="both"/>
        <w:rPr>
          <w:rFonts w:ascii="David" w:hAnsi="David" w:cs="David"/>
          <w:b/>
          <w:bCs/>
          <w:sz w:val="24"/>
          <w:szCs w:val="24"/>
        </w:rPr>
      </w:pPr>
      <w:r>
        <w:rPr>
          <w:rFonts w:ascii="David" w:hAnsi="David" w:cs="David"/>
          <w:b/>
          <w:bCs/>
          <w:sz w:val="24"/>
          <w:szCs w:val="24"/>
          <w:rtl/>
        </w:rPr>
        <w:t>לאחר תשלום שכ"ט הכונסת בהתאם לקבוע לעיל, וכן לאחר תשלום שיבוצע לצורך קבלת אישור המועצה לטאבו (בהתאם לאמור בסעיף 2 בבקשת הכונסת מיום 18.9.22 (בעמוד האחרון), תועבר היתרה שנותרה בחשבון הנאמנות לידי המשיב. "</w:t>
      </w:r>
    </w:p>
    <w:p w:rsidR="00545020" w:rsidRDefault="00545020" w:rsidP="00545020">
      <w:pPr>
        <w:pStyle w:val="ad"/>
        <w:spacing w:after="0" w:line="360" w:lineRule="auto"/>
        <w:ind w:left="1080" w:right="426"/>
        <w:jc w:val="both"/>
        <w:rPr>
          <w:rFonts w:ascii="David" w:hAnsi="David" w:cs="David"/>
          <w:b/>
          <w:bCs/>
          <w:sz w:val="24"/>
          <w:szCs w:val="24"/>
        </w:rPr>
      </w:pPr>
    </w:p>
    <w:p w:rsidR="00545020" w:rsidRDefault="00545020" w:rsidP="00545020">
      <w:pPr>
        <w:pStyle w:val="ad"/>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המבקשת לא הסכימה עם קביעת בית משפט קמא. תחילה הגישה ערעור על ההחלטה אך נוכח החלטת סגן הנשיא כב' השופט א. אליקים, כי אין מדובר בזכות ערעור, הגישה המבקשת בקשת רשות הערעור זו שבפניי. באשר לשאלת סיווג ההליך - ערעור או בקשת רשות ערעור, ראו רע"א 6269/11 </w:t>
      </w:r>
      <w:r>
        <w:rPr>
          <w:rFonts w:ascii="David" w:hAnsi="David" w:cs="David"/>
          <w:b/>
          <w:bCs/>
          <w:sz w:val="24"/>
          <w:szCs w:val="24"/>
          <w:rtl/>
        </w:rPr>
        <w:t>סלמאן חמדאן נ' עזבון המנוח נסרי וקים ז"ל</w:t>
      </w:r>
      <w:r>
        <w:rPr>
          <w:rFonts w:ascii="David" w:hAnsi="David" w:cs="David"/>
          <w:sz w:val="24"/>
          <w:szCs w:val="24"/>
          <w:rtl/>
        </w:rPr>
        <w:t xml:space="preserve"> (נבו 22.11.2011).</w:t>
      </w:r>
    </w:p>
    <w:p w:rsidR="00545020" w:rsidRDefault="00545020" w:rsidP="00545020">
      <w:pPr>
        <w:pStyle w:val="ad"/>
        <w:spacing w:line="360" w:lineRule="auto"/>
        <w:ind w:left="84"/>
        <w:jc w:val="both"/>
        <w:rPr>
          <w:rFonts w:ascii="David" w:hAnsi="David" w:cs="David"/>
          <w:sz w:val="24"/>
          <w:szCs w:val="24"/>
        </w:rPr>
      </w:pPr>
    </w:p>
    <w:p w:rsidR="00545020" w:rsidRDefault="00545020" w:rsidP="00545020">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lastRenderedPageBreak/>
        <w:t xml:space="preserve">בתמצית, טענה המבקשת כי בית משפט קמא שגה עת לא שעה לפנייתה להטיל על המשיב את מלוא ההוצאות העודפות שנגרמו לה בשל מעשיו ומחדליו, שגה עת לא נתן דעתו לכל סעיפי הנזק שנגרמו לה וכן שגה עת לא נימק החלטתו מדוע מצא להותיר על כתפיה הוצאות שלא היא גרמה להן, זאת בהינתן לכך שהמשיב פעל בסרבנות עיקשת, לא שיתף עמה פעולה עמה (שותפתו לנכס), הקשה עליה בכל דרך אפשרית, לא ציית להוראות בית המשפט, לא התייצב לדיונים, לא שיתף פעולה עם כונסת הנכסים, לא חתם על מסמכים שיאפשרו את מכירת הדירה "אגב גירושין", גרם להכבדה של עומס המס שהוטל עליה, ובכך הסב לה נזקים כספיים רבים. </w:t>
      </w:r>
    </w:p>
    <w:p w:rsidR="00545020" w:rsidRDefault="00545020" w:rsidP="00545020">
      <w:pPr>
        <w:pStyle w:val="ad"/>
        <w:spacing w:line="360" w:lineRule="auto"/>
        <w:ind w:left="84"/>
        <w:jc w:val="both"/>
        <w:rPr>
          <w:rFonts w:ascii="David" w:hAnsi="David" w:cs="David"/>
          <w:sz w:val="24"/>
          <w:szCs w:val="24"/>
        </w:rPr>
      </w:pPr>
    </w:p>
    <w:p w:rsidR="00545020" w:rsidRDefault="00545020" w:rsidP="00545020">
      <w:pPr>
        <w:pStyle w:val="ad"/>
        <w:numPr>
          <w:ilvl w:val="0"/>
          <w:numId w:val="1"/>
        </w:numPr>
        <w:spacing w:line="360" w:lineRule="auto"/>
        <w:ind w:left="368"/>
        <w:jc w:val="both"/>
        <w:rPr>
          <w:rFonts w:ascii="David" w:hAnsi="David" w:cs="David"/>
          <w:b/>
          <w:bCs/>
          <w:sz w:val="24"/>
          <w:szCs w:val="24"/>
          <w:rtl/>
        </w:rPr>
      </w:pPr>
      <w:r>
        <w:rPr>
          <w:rFonts w:ascii="David" w:hAnsi="David" w:cs="David"/>
          <w:sz w:val="24"/>
          <w:szCs w:val="24"/>
          <w:rtl/>
        </w:rPr>
        <w:t xml:space="preserve">המבקשת לא כימתה את סכום ההוצאות "העודפות" ולפיכך הוריתי לה להשלים את בקשתה ולפרט את ההוצאות העודפות. כן ביקשתי לקבל את תגובת כונסת הנכסים ותגובת המשיב. </w:t>
      </w:r>
    </w:p>
    <w:p w:rsidR="00545020" w:rsidRDefault="00545020" w:rsidP="00545020">
      <w:pPr>
        <w:pStyle w:val="ad"/>
        <w:spacing w:line="360" w:lineRule="auto"/>
        <w:ind w:left="368"/>
        <w:jc w:val="both"/>
        <w:rPr>
          <w:rFonts w:ascii="David" w:hAnsi="David" w:cs="David"/>
          <w:b/>
          <w:bCs/>
          <w:sz w:val="24"/>
          <w:szCs w:val="24"/>
          <w:rtl/>
        </w:rPr>
      </w:pPr>
    </w:p>
    <w:p w:rsidR="00545020" w:rsidRDefault="00545020" w:rsidP="00545020">
      <w:pPr>
        <w:pStyle w:val="ad"/>
        <w:numPr>
          <w:ilvl w:val="0"/>
          <w:numId w:val="1"/>
        </w:numPr>
        <w:spacing w:line="360" w:lineRule="auto"/>
        <w:ind w:left="368"/>
        <w:jc w:val="both"/>
        <w:rPr>
          <w:rFonts w:ascii="David" w:hAnsi="David" w:cs="David"/>
          <w:b/>
          <w:bCs/>
          <w:sz w:val="24"/>
          <w:szCs w:val="24"/>
          <w:rtl/>
        </w:rPr>
      </w:pPr>
      <w:r>
        <w:rPr>
          <w:rFonts w:ascii="David" w:hAnsi="David" w:cs="David"/>
          <w:sz w:val="24"/>
          <w:szCs w:val="24"/>
          <w:rtl/>
        </w:rPr>
        <w:t xml:space="preserve">כונסת הנכסים הודיעה כי אין לה עמדה והיא משאירה את ההחלטה לשיקול בית המשפט הנכבד. המשיב לא הגיש תגובה ולא ברור האם המבקשת המציאה לו את כתבי בי-דין. </w:t>
      </w:r>
    </w:p>
    <w:p w:rsidR="00545020" w:rsidRDefault="00545020" w:rsidP="00545020">
      <w:pPr>
        <w:pStyle w:val="ad"/>
        <w:rPr>
          <w:rFonts w:ascii="David" w:hAnsi="David" w:cs="David"/>
          <w:b/>
          <w:bCs/>
          <w:sz w:val="24"/>
          <w:szCs w:val="24"/>
        </w:rPr>
      </w:pPr>
    </w:p>
    <w:p w:rsidR="00545020" w:rsidRDefault="00545020" w:rsidP="00545020">
      <w:pPr>
        <w:pStyle w:val="ad"/>
        <w:spacing w:line="360" w:lineRule="auto"/>
        <w:ind w:left="84"/>
        <w:jc w:val="both"/>
        <w:rPr>
          <w:rFonts w:ascii="David" w:hAnsi="David" w:cs="David"/>
          <w:b/>
          <w:bCs/>
          <w:sz w:val="24"/>
          <w:szCs w:val="24"/>
          <w:rtl/>
        </w:rPr>
      </w:pPr>
    </w:p>
    <w:p w:rsidR="00545020" w:rsidRDefault="00545020" w:rsidP="00545020">
      <w:pPr>
        <w:pStyle w:val="ad"/>
        <w:spacing w:line="360" w:lineRule="auto"/>
        <w:ind w:left="84"/>
        <w:jc w:val="both"/>
        <w:rPr>
          <w:rFonts w:ascii="David" w:hAnsi="David" w:cs="David"/>
          <w:b/>
          <w:bCs/>
          <w:sz w:val="24"/>
          <w:szCs w:val="24"/>
          <w:rtl/>
        </w:rPr>
      </w:pPr>
      <w:r>
        <w:rPr>
          <w:rFonts w:ascii="David" w:hAnsi="David" w:cs="David"/>
          <w:b/>
          <w:bCs/>
          <w:sz w:val="24"/>
          <w:szCs w:val="24"/>
          <w:rtl/>
        </w:rPr>
        <w:t>דיון והכרעה:</w:t>
      </w:r>
    </w:p>
    <w:p w:rsidR="00545020" w:rsidRDefault="00545020" w:rsidP="00545020">
      <w:pPr>
        <w:pStyle w:val="ad"/>
        <w:spacing w:line="360" w:lineRule="auto"/>
        <w:ind w:left="368"/>
        <w:jc w:val="both"/>
        <w:rPr>
          <w:rFonts w:ascii="David" w:hAnsi="David" w:cs="David"/>
          <w:sz w:val="24"/>
          <w:szCs w:val="24"/>
          <w:rtl/>
        </w:rPr>
      </w:pPr>
    </w:p>
    <w:p w:rsidR="00545020" w:rsidRDefault="00545020" w:rsidP="00545020">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לאחר עיון בבקשת רשות הערעור על נספחיה ובתיק בית משפט קמא, מצאתי לדון בבקשה כאילו ניתנה בה רשות והוגש ערעור לפי הרשות שניתנה, וזאת בהתאם לסמכותי מכוח תקנה 149(2)(ב) לתקנות סדר הדין האזרחי, התשע"ט-2018 (להלן: "</w:t>
      </w:r>
      <w:r>
        <w:rPr>
          <w:rFonts w:ascii="David" w:hAnsi="David" w:cs="David"/>
          <w:b/>
          <w:bCs/>
          <w:sz w:val="24"/>
          <w:szCs w:val="24"/>
          <w:rtl/>
        </w:rPr>
        <w:t>התקסד"א</w:t>
      </w:r>
      <w:r>
        <w:rPr>
          <w:rFonts w:ascii="David" w:hAnsi="David" w:cs="David"/>
          <w:sz w:val="24"/>
          <w:szCs w:val="24"/>
          <w:rtl/>
        </w:rPr>
        <w:t xml:space="preserve">"), </w:t>
      </w:r>
      <w:r>
        <w:rPr>
          <w:rFonts w:ascii="David" w:hAnsi="David" w:cs="David"/>
          <w:b/>
          <w:bCs/>
          <w:sz w:val="24"/>
          <w:szCs w:val="24"/>
          <w:rtl/>
        </w:rPr>
        <w:t>וכן מצאתי לדחות את הערעור</w:t>
      </w:r>
      <w:r>
        <w:rPr>
          <w:rFonts w:ascii="David" w:hAnsi="David" w:cs="David"/>
          <w:sz w:val="24"/>
          <w:szCs w:val="24"/>
          <w:rtl/>
        </w:rPr>
        <w:t xml:space="preserve">. </w:t>
      </w:r>
    </w:p>
    <w:p w:rsidR="00545020" w:rsidRDefault="00545020" w:rsidP="00545020">
      <w:pPr>
        <w:pStyle w:val="ad"/>
        <w:spacing w:line="360" w:lineRule="auto"/>
        <w:ind w:left="84"/>
        <w:jc w:val="both"/>
        <w:rPr>
          <w:rFonts w:ascii="David" w:hAnsi="David" w:cs="David"/>
          <w:sz w:val="24"/>
          <w:szCs w:val="24"/>
        </w:rPr>
      </w:pPr>
    </w:p>
    <w:p w:rsidR="00545020" w:rsidRDefault="00545020" w:rsidP="00545020">
      <w:pPr>
        <w:pStyle w:val="ad"/>
        <w:numPr>
          <w:ilvl w:val="0"/>
          <w:numId w:val="1"/>
        </w:numPr>
        <w:spacing w:line="360" w:lineRule="auto"/>
        <w:ind w:left="368"/>
        <w:jc w:val="both"/>
        <w:rPr>
          <w:rFonts w:ascii="David" w:hAnsi="David" w:cs="David"/>
          <w:color w:val="000000"/>
          <w:sz w:val="24"/>
          <w:szCs w:val="24"/>
        </w:rPr>
      </w:pPr>
      <w:r>
        <w:rPr>
          <w:rFonts w:ascii="David" w:hAnsi="David" w:cs="David"/>
          <w:color w:val="000000"/>
          <w:sz w:val="24"/>
          <w:szCs w:val="24"/>
          <w:rtl/>
        </w:rPr>
        <w:t>ראשית, אפתח בהלכה לפיה על דרך הכלל, אין ערכאת הערעור מתערבת בקביעת הערכאה המבררת לעניין פסיקת שכר והוצאות</w:t>
      </w:r>
      <w:r>
        <w:rPr>
          <w:rFonts w:ascii="David" w:hAnsi="David" w:cs="David"/>
          <w:sz w:val="24"/>
          <w:szCs w:val="24"/>
          <w:rtl/>
        </w:rPr>
        <w:t xml:space="preserve"> </w:t>
      </w:r>
      <w:r>
        <w:rPr>
          <w:rFonts w:ascii="David" w:hAnsi="David" w:cs="David"/>
          <w:color w:val="000000"/>
          <w:sz w:val="24"/>
          <w:szCs w:val="24"/>
          <w:rtl/>
        </w:rPr>
        <w:t xml:space="preserve">ע"א 9323/04 </w:t>
      </w:r>
      <w:r>
        <w:rPr>
          <w:rFonts w:ascii="David" w:hAnsi="David" w:cs="David"/>
          <w:b/>
          <w:bCs/>
          <w:color w:val="000000"/>
          <w:sz w:val="24"/>
          <w:szCs w:val="24"/>
          <w:rtl/>
        </w:rPr>
        <w:t>מיצר לפיתוח בע"מ נ' שותפות בנין 17 מתחם 5</w:t>
      </w:r>
      <w:r>
        <w:rPr>
          <w:rFonts w:ascii="David" w:hAnsi="David" w:cs="David"/>
          <w:color w:val="000000"/>
          <w:sz w:val="24"/>
          <w:szCs w:val="24"/>
          <w:rtl/>
        </w:rPr>
        <w:t xml:space="preserve"> (נבו 23.07.2006), ע"א 8910/05 א</w:t>
      </w:r>
      <w:r>
        <w:rPr>
          <w:rFonts w:ascii="David" w:hAnsi="David" w:cs="David"/>
          <w:b/>
          <w:bCs/>
          <w:color w:val="000000"/>
          <w:sz w:val="24"/>
          <w:szCs w:val="24"/>
          <w:rtl/>
        </w:rPr>
        <w:t>. אדמון בע"מ נ' זלמה וינבלט</w:t>
      </w:r>
      <w:r>
        <w:rPr>
          <w:rFonts w:ascii="David" w:hAnsi="David" w:cs="David"/>
          <w:color w:val="000000"/>
          <w:sz w:val="24"/>
          <w:szCs w:val="24"/>
          <w:rtl/>
        </w:rPr>
        <w:t xml:space="preserve"> (נבו 20.09.2007), וכי צריכות להתגלות אי סבירות רבה וסטייה בלתי מובנת מהרמה המקובלת כדי שתבוא התערבות כזו (עיינו </w:t>
      </w:r>
      <w:r>
        <w:rPr>
          <w:rFonts w:ascii="David" w:hAnsi="David" w:cs="David"/>
          <w:sz w:val="24"/>
          <w:szCs w:val="24"/>
          <w:rtl/>
        </w:rPr>
        <w:t>ע"א 136/92 </w:t>
      </w:r>
      <w:r>
        <w:rPr>
          <w:rFonts w:ascii="David" w:hAnsi="David" w:cs="David"/>
          <w:b/>
          <w:bCs/>
          <w:sz w:val="24"/>
          <w:szCs w:val="24"/>
          <w:rtl/>
        </w:rPr>
        <w:t>ביניש-עדיאל - עורכי-דין נ' דניה סיבוס חברה לבנין בע"מ,</w:t>
      </w:r>
      <w:r>
        <w:rPr>
          <w:rFonts w:ascii="David" w:hAnsi="David" w:cs="David"/>
          <w:sz w:val="24"/>
          <w:szCs w:val="24"/>
        </w:rPr>
        <w:t xml:space="preserve"> </w:t>
      </w:r>
      <w:r>
        <w:rPr>
          <w:rFonts w:ascii="David" w:hAnsi="David" w:cs="David"/>
          <w:sz w:val="24"/>
          <w:szCs w:val="24"/>
          <w:rtl/>
        </w:rPr>
        <w:t>מז(5) 114 (1993</w:t>
      </w:r>
      <w:r>
        <w:rPr>
          <w:rFonts w:ascii="David" w:hAnsi="David" w:cs="David"/>
          <w:color w:val="000000"/>
          <w:sz w:val="24"/>
          <w:szCs w:val="24"/>
          <w:rtl/>
        </w:rPr>
        <w:t xml:space="preserve">). המקרה שבפניי אינו בא בגדר החריג לכלל. </w:t>
      </w:r>
    </w:p>
    <w:p w:rsidR="00545020" w:rsidRDefault="00545020" w:rsidP="00545020">
      <w:pPr>
        <w:pStyle w:val="ad"/>
        <w:spacing w:line="360" w:lineRule="auto"/>
        <w:ind w:left="84"/>
        <w:jc w:val="both"/>
        <w:rPr>
          <w:rFonts w:ascii="David" w:hAnsi="David" w:cs="David"/>
          <w:sz w:val="24"/>
          <w:szCs w:val="24"/>
        </w:rPr>
      </w:pPr>
    </w:p>
    <w:p w:rsidR="00545020" w:rsidRDefault="00545020" w:rsidP="00545020">
      <w:pPr>
        <w:pStyle w:val="ad"/>
        <w:numPr>
          <w:ilvl w:val="0"/>
          <w:numId w:val="1"/>
        </w:numPr>
        <w:spacing w:line="360" w:lineRule="auto"/>
        <w:ind w:left="368"/>
        <w:jc w:val="both"/>
        <w:rPr>
          <w:rFonts w:ascii="David" w:hAnsi="David" w:cs="David"/>
          <w:sz w:val="24"/>
          <w:szCs w:val="24"/>
        </w:rPr>
      </w:pPr>
      <w:r>
        <w:rPr>
          <w:rFonts w:ascii="David" w:hAnsi="David" w:cs="David"/>
          <w:color w:val="000000"/>
          <w:sz w:val="24"/>
          <w:szCs w:val="24"/>
          <w:rtl/>
        </w:rPr>
        <w:t xml:space="preserve">שנית, בקשת המערערת לבית משפט קמא הוגשה בניגוד </w:t>
      </w:r>
      <w:r>
        <w:rPr>
          <w:rFonts w:ascii="David" w:hAnsi="David" w:cs="David"/>
          <w:sz w:val="24"/>
          <w:szCs w:val="24"/>
          <w:rtl/>
        </w:rPr>
        <w:t xml:space="preserve">לתקנה 155(א) לתקסד"א, המורה כי: </w:t>
      </w:r>
      <w:r>
        <w:rPr>
          <w:rFonts w:ascii="David" w:hAnsi="David" w:cs="David"/>
          <w:b/>
          <w:bCs/>
          <w:sz w:val="24"/>
          <w:szCs w:val="24"/>
          <w:rtl/>
        </w:rPr>
        <w:t>"בית המשפט יפסוק הוצאות משפט, ובלבד שבעל הדין פירט בסיכומי טענותיו באופן מפורש ומפורט את הוצאות המשפט כפי שנדרשו לצורך ההליך וצירף מסמכים התומכים בכך"</w:t>
      </w:r>
      <w:r>
        <w:rPr>
          <w:rFonts w:ascii="David" w:hAnsi="David" w:cs="David"/>
          <w:sz w:val="24"/>
          <w:szCs w:val="24"/>
          <w:rtl/>
        </w:rPr>
        <w:t xml:space="preserve">. </w:t>
      </w:r>
      <w:r>
        <w:rPr>
          <w:rFonts w:ascii="David" w:hAnsi="David" w:cs="David"/>
          <w:color w:val="000000"/>
          <w:sz w:val="24"/>
          <w:szCs w:val="24"/>
          <w:rtl/>
        </w:rPr>
        <w:t xml:space="preserve">בקשת המערערת לבית משפט קמא נפרסה על פני ארבעה עמודים אך לא היה בה כל פירוט ו/או ציון ו/או התייחסות לסכום ההוצאות "העודפות" ו/או מהותן. כאשר הבקשה הינה כללית ואמורפית, נעדרת נתונים ופירוט ביחס לעלויות וההוצאות העודפות, </w:t>
      </w:r>
      <w:r>
        <w:rPr>
          <w:rFonts w:ascii="David" w:hAnsi="David" w:cs="David"/>
          <w:sz w:val="24"/>
          <w:szCs w:val="24"/>
          <w:rtl/>
        </w:rPr>
        <w:t xml:space="preserve">אין לקבוע כי בית משפט </w:t>
      </w:r>
      <w:r>
        <w:rPr>
          <w:rFonts w:ascii="David" w:hAnsi="David" w:cs="David"/>
          <w:sz w:val="24"/>
          <w:szCs w:val="24"/>
          <w:rtl/>
        </w:rPr>
        <w:lastRenderedPageBreak/>
        <w:t xml:space="preserve">שגה בהחלטתו אלא יש לומר כי בית משפט קמא בא לקראת המערערת עת הורה על חלוקה לא שוויונית של שכר טרחת כונסת הנכסים. </w:t>
      </w:r>
    </w:p>
    <w:p w:rsidR="00545020" w:rsidRDefault="00545020" w:rsidP="00545020">
      <w:pPr>
        <w:pStyle w:val="ad"/>
        <w:spacing w:line="360" w:lineRule="auto"/>
        <w:ind w:left="84"/>
        <w:jc w:val="both"/>
        <w:rPr>
          <w:rFonts w:ascii="David" w:hAnsi="David" w:cs="David"/>
          <w:b/>
          <w:bCs/>
          <w:sz w:val="24"/>
          <w:szCs w:val="24"/>
        </w:rPr>
      </w:pPr>
    </w:p>
    <w:p w:rsidR="00545020" w:rsidRDefault="00545020" w:rsidP="00545020">
      <w:pPr>
        <w:pStyle w:val="ad"/>
        <w:numPr>
          <w:ilvl w:val="0"/>
          <w:numId w:val="1"/>
        </w:numPr>
        <w:spacing w:line="360" w:lineRule="auto"/>
        <w:ind w:left="368"/>
        <w:jc w:val="both"/>
        <w:rPr>
          <w:rFonts w:ascii="David" w:hAnsi="David" w:cs="David"/>
          <w:color w:val="000000"/>
          <w:sz w:val="24"/>
          <w:szCs w:val="24"/>
        </w:rPr>
      </w:pPr>
      <w:r>
        <w:rPr>
          <w:rFonts w:ascii="David" w:hAnsi="David" w:cs="David"/>
          <w:color w:val="000000"/>
          <w:sz w:val="24"/>
          <w:szCs w:val="24"/>
          <w:rtl/>
        </w:rPr>
        <w:t xml:space="preserve">גם בהליך שבפניי לא פירטה המערערת כל הוצאה, ודי בכך היה כדי לדחות את ערעורה. </w:t>
      </w:r>
    </w:p>
    <w:p w:rsidR="00545020" w:rsidRDefault="00545020" w:rsidP="00545020">
      <w:pPr>
        <w:pStyle w:val="ad"/>
        <w:spacing w:line="360" w:lineRule="auto"/>
        <w:ind w:left="368"/>
        <w:jc w:val="both"/>
        <w:rPr>
          <w:rFonts w:ascii="David" w:hAnsi="David" w:cs="David"/>
          <w:color w:val="000000"/>
          <w:sz w:val="24"/>
          <w:szCs w:val="24"/>
        </w:rPr>
      </w:pPr>
    </w:p>
    <w:p w:rsidR="00545020" w:rsidRDefault="00545020" w:rsidP="00545020">
      <w:pPr>
        <w:pStyle w:val="ad"/>
        <w:numPr>
          <w:ilvl w:val="0"/>
          <w:numId w:val="1"/>
        </w:numPr>
        <w:spacing w:line="360" w:lineRule="auto"/>
        <w:ind w:left="368"/>
        <w:jc w:val="both"/>
        <w:rPr>
          <w:rFonts w:ascii="David" w:hAnsi="David" w:cs="David"/>
          <w:color w:val="000000"/>
          <w:sz w:val="24"/>
          <w:szCs w:val="24"/>
        </w:rPr>
      </w:pPr>
      <w:r>
        <w:rPr>
          <w:rFonts w:ascii="David" w:hAnsi="David" w:cs="David"/>
          <w:color w:val="000000"/>
          <w:sz w:val="24"/>
          <w:szCs w:val="24"/>
          <w:rtl/>
        </w:rPr>
        <w:t>פטור בלא כלום אי אפשר, הוריתי למערערת להגיש את פירוט ההוצאות העודפות הנטענות על ידה, ובהתאם הגישה את פירוט ההוצאות המסתכמות לסך של 221,050 ₪ (נסמכות על חשבוניות וקבלות) לפי הפירוט כדלקמן:</w:t>
      </w:r>
    </w:p>
    <w:p w:rsidR="00545020" w:rsidRDefault="00545020" w:rsidP="00545020">
      <w:pPr>
        <w:pStyle w:val="ad"/>
        <w:spacing w:line="360" w:lineRule="auto"/>
        <w:ind w:left="444"/>
        <w:jc w:val="both"/>
        <w:rPr>
          <w:rFonts w:ascii="David" w:hAnsi="David" w:cs="David"/>
          <w:sz w:val="24"/>
          <w:szCs w:val="24"/>
        </w:rPr>
      </w:pPr>
    </w:p>
    <w:p w:rsidR="00545020" w:rsidRDefault="00545020" w:rsidP="00545020">
      <w:pPr>
        <w:pStyle w:val="ad"/>
        <w:numPr>
          <w:ilvl w:val="0"/>
          <w:numId w:val="3"/>
        </w:numPr>
        <w:spacing w:line="360" w:lineRule="auto"/>
        <w:jc w:val="both"/>
        <w:rPr>
          <w:rFonts w:ascii="David" w:hAnsi="David" w:cs="David"/>
          <w:sz w:val="24"/>
          <w:szCs w:val="24"/>
        </w:rPr>
      </w:pPr>
      <w:r>
        <w:rPr>
          <w:rFonts w:ascii="David" w:hAnsi="David" w:cs="David"/>
          <w:sz w:val="24"/>
          <w:szCs w:val="24"/>
          <w:rtl/>
        </w:rPr>
        <w:t>תשלום שכ"ט עו"ד בגין ניהול ההליך קמא עד מינויה ככונסת נכסים – סך של 32,100 ₪</w:t>
      </w:r>
    </w:p>
    <w:p w:rsidR="00545020" w:rsidRDefault="00545020" w:rsidP="00545020">
      <w:pPr>
        <w:pStyle w:val="ad"/>
        <w:numPr>
          <w:ilvl w:val="0"/>
          <w:numId w:val="3"/>
        </w:numPr>
        <w:spacing w:line="360" w:lineRule="auto"/>
        <w:jc w:val="both"/>
        <w:rPr>
          <w:rFonts w:ascii="David" w:hAnsi="David" w:cs="David"/>
          <w:sz w:val="24"/>
          <w:szCs w:val="24"/>
        </w:rPr>
      </w:pPr>
      <w:r>
        <w:rPr>
          <w:rFonts w:ascii="David" w:hAnsi="David" w:cs="David"/>
          <w:sz w:val="24"/>
          <w:szCs w:val="24"/>
          <w:rtl/>
        </w:rPr>
        <w:t xml:space="preserve">הוצאות אגרה, איתור המשיב ומסירה בהליך קמא –                             סך של 10,106 ₪ </w:t>
      </w:r>
    </w:p>
    <w:p w:rsidR="00545020" w:rsidRDefault="00545020" w:rsidP="00545020">
      <w:pPr>
        <w:pStyle w:val="ad"/>
        <w:numPr>
          <w:ilvl w:val="0"/>
          <w:numId w:val="3"/>
        </w:numPr>
        <w:spacing w:line="360" w:lineRule="auto"/>
        <w:jc w:val="both"/>
        <w:rPr>
          <w:rFonts w:ascii="David" w:hAnsi="David" w:cs="David"/>
          <w:sz w:val="24"/>
          <w:szCs w:val="24"/>
        </w:rPr>
      </w:pPr>
      <w:r>
        <w:rPr>
          <w:rFonts w:ascii="David" w:hAnsi="David" w:cs="David"/>
          <w:sz w:val="24"/>
          <w:szCs w:val="24"/>
          <w:rtl/>
        </w:rPr>
        <w:t xml:space="preserve">תשלום מס שלא היה צורך לשלמו לו היה המשיב משתף פעולה –          סך של 91,465 ₪ </w:t>
      </w:r>
    </w:p>
    <w:p w:rsidR="00545020" w:rsidRDefault="00545020" w:rsidP="00545020">
      <w:pPr>
        <w:pStyle w:val="ad"/>
        <w:numPr>
          <w:ilvl w:val="0"/>
          <w:numId w:val="3"/>
        </w:numPr>
        <w:spacing w:line="360" w:lineRule="auto"/>
        <w:ind w:right="-142"/>
        <w:jc w:val="both"/>
        <w:rPr>
          <w:rFonts w:ascii="David" w:hAnsi="David" w:cs="David"/>
          <w:sz w:val="24"/>
          <w:szCs w:val="24"/>
        </w:rPr>
      </w:pPr>
      <w:r>
        <w:rPr>
          <w:rFonts w:ascii="David" w:hAnsi="David" w:cs="David"/>
          <w:sz w:val="24"/>
          <w:szCs w:val="24"/>
          <w:rtl/>
        </w:rPr>
        <w:t xml:space="preserve">שירותי עו"ד במסגרת הבקשה בהליך קמא –                                          סך של 21,694 ₪ </w:t>
      </w:r>
    </w:p>
    <w:p w:rsidR="00545020" w:rsidRDefault="00545020" w:rsidP="00545020">
      <w:pPr>
        <w:pStyle w:val="ad"/>
        <w:numPr>
          <w:ilvl w:val="0"/>
          <w:numId w:val="3"/>
        </w:numPr>
        <w:spacing w:line="360" w:lineRule="auto"/>
        <w:jc w:val="both"/>
        <w:rPr>
          <w:rFonts w:ascii="David" w:hAnsi="David" w:cs="David"/>
          <w:sz w:val="24"/>
          <w:szCs w:val="24"/>
        </w:rPr>
      </w:pPr>
      <w:r>
        <w:rPr>
          <w:rFonts w:ascii="David" w:hAnsi="David" w:cs="David"/>
          <w:sz w:val="24"/>
          <w:szCs w:val="24"/>
          <w:rtl/>
        </w:rPr>
        <w:t xml:space="preserve">איתור ומסירה בהליך זה –                                                                      סך של 750 ₪ </w:t>
      </w:r>
    </w:p>
    <w:p w:rsidR="00545020" w:rsidRDefault="00545020" w:rsidP="00545020">
      <w:pPr>
        <w:pStyle w:val="ad"/>
        <w:numPr>
          <w:ilvl w:val="0"/>
          <w:numId w:val="3"/>
        </w:numPr>
        <w:spacing w:line="360" w:lineRule="auto"/>
        <w:jc w:val="both"/>
        <w:rPr>
          <w:rFonts w:ascii="David" w:hAnsi="David" w:cs="David"/>
          <w:sz w:val="24"/>
          <w:szCs w:val="24"/>
        </w:rPr>
      </w:pPr>
      <w:r>
        <w:rPr>
          <w:rFonts w:ascii="David" w:hAnsi="David" w:cs="David"/>
          <w:sz w:val="24"/>
          <w:szCs w:val="24"/>
          <w:rtl/>
        </w:rPr>
        <w:t>רבע מתוך שכ"ט כונסת הנכסים –                                                           סך של 64,935 ₪</w:t>
      </w:r>
    </w:p>
    <w:p w:rsidR="00545020" w:rsidRDefault="00545020" w:rsidP="00545020">
      <w:pPr>
        <w:pStyle w:val="ad"/>
        <w:numPr>
          <w:ilvl w:val="0"/>
          <w:numId w:val="3"/>
        </w:numPr>
        <w:spacing w:line="360" w:lineRule="auto"/>
        <w:jc w:val="both"/>
        <w:rPr>
          <w:rFonts w:ascii="David" w:hAnsi="David" w:cs="David"/>
          <w:sz w:val="24"/>
          <w:szCs w:val="24"/>
        </w:rPr>
      </w:pPr>
      <w:r>
        <w:rPr>
          <w:rFonts w:ascii="David" w:hAnsi="David" w:cs="David"/>
          <w:sz w:val="24"/>
          <w:szCs w:val="24"/>
          <w:rtl/>
        </w:rPr>
        <w:t>קבלות והוצאות נוספות, הוצאות ההליך קמא והוצאות ההליך דנן –     ללא פירוט</w:t>
      </w:r>
    </w:p>
    <w:p w:rsidR="00545020" w:rsidRDefault="00545020" w:rsidP="00545020">
      <w:pPr>
        <w:spacing w:line="360" w:lineRule="auto"/>
        <w:jc w:val="both"/>
        <w:rPr>
          <w:rFonts w:ascii="David" w:hAnsi="David"/>
          <w:highlight w:val="cyan"/>
        </w:rPr>
      </w:pPr>
    </w:p>
    <w:p w:rsidR="00545020" w:rsidRDefault="00545020" w:rsidP="00545020">
      <w:pPr>
        <w:pStyle w:val="ad"/>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בחנתי את פירוט ההוצאות, וגם לאחר בחינתן לא מצאתי כי יש לקבל את עמדת המערערת. </w:t>
      </w:r>
    </w:p>
    <w:p w:rsidR="00545020" w:rsidRDefault="00545020" w:rsidP="00545020">
      <w:pPr>
        <w:pStyle w:val="ad"/>
        <w:spacing w:line="360" w:lineRule="auto"/>
        <w:ind w:left="84"/>
        <w:jc w:val="both"/>
        <w:rPr>
          <w:rFonts w:ascii="David" w:hAnsi="David" w:cs="David"/>
          <w:sz w:val="24"/>
          <w:szCs w:val="24"/>
        </w:rPr>
      </w:pPr>
    </w:p>
    <w:p w:rsidR="00545020" w:rsidRDefault="00545020" w:rsidP="00545020">
      <w:pPr>
        <w:pStyle w:val="ad"/>
        <w:numPr>
          <w:ilvl w:val="0"/>
          <w:numId w:val="3"/>
        </w:numPr>
        <w:spacing w:line="360" w:lineRule="auto"/>
        <w:jc w:val="both"/>
        <w:rPr>
          <w:rFonts w:ascii="David" w:hAnsi="David" w:cs="David"/>
          <w:sz w:val="24"/>
          <w:szCs w:val="24"/>
        </w:rPr>
      </w:pPr>
      <w:r>
        <w:rPr>
          <w:rFonts w:ascii="David" w:hAnsi="David" w:cs="David"/>
          <w:sz w:val="24"/>
          <w:szCs w:val="24"/>
          <w:rtl/>
        </w:rPr>
        <w:t>באשר להוצאות שהוצאו עבור שכ"ט עו"ד טרם מינויה ככונסת הנכסים (32,100 ש"ח), אגרות ואיתור המשיב (10,106 ₪), הוצאות אלו נתבקשו על ידי המערערת בבקשותיה למתן פסק דין בהיעדר הגנה (ראו בקשה מס' 1 מיום 21.10.2021 סע' 9 וכן ראו בקשה מס' 3 מיום 25.01.2022 סע' 6). משלא פסק בית משפט קמא בפסק הדין הוצאות אלו, חרף בקשת המערערת, אין זה המקום "להוסיף" על פסק הדין כשנה וחצי לאחר מכן. בנוסף, מקריאת החלטת בית משפט קמא עולה כי מרכיבים אלה של הוצאות אשר הוצאתן נדרשה בשל התנהלות המשיב עמדו בין יתר השיקולים לשינוי איזון תשלום שכ"ט כונסת הנכסים (עיינו פסקה 6 להחלטת בית משפט קמא, פסקה 2 לפסק דיני דנן).</w:t>
      </w:r>
    </w:p>
    <w:p w:rsidR="00545020" w:rsidRDefault="00545020" w:rsidP="00545020">
      <w:pPr>
        <w:pStyle w:val="ad"/>
        <w:spacing w:line="360" w:lineRule="auto"/>
        <w:ind w:left="444"/>
        <w:jc w:val="both"/>
        <w:rPr>
          <w:rFonts w:ascii="David" w:hAnsi="David" w:cs="David"/>
          <w:b/>
          <w:bCs/>
          <w:sz w:val="24"/>
          <w:szCs w:val="24"/>
        </w:rPr>
      </w:pPr>
    </w:p>
    <w:p w:rsidR="00545020" w:rsidRDefault="00545020" w:rsidP="00545020">
      <w:pPr>
        <w:pStyle w:val="ad"/>
        <w:numPr>
          <w:ilvl w:val="0"/>
          <w:numId w:val="3"/>
        </w:numPr>
        <w:spacing w:line="360" w:lineRule="auto"/>
        <w:jc w:val="both"/>
        <w:rPr>
          <w:rFonts w:ascii="David" w:hAnsi="David" w:cs="David"/>
          <w:b/>
          <w:bCs/>
          <w:sz w:val="24"/>
          <w:szCs w:val="24"/>
          <w:rtl/>
        </w:rPr>
      </w:pPr>
      <w:r>
        <w:rPr>
          <w:rFonts w:ascii="David" w:hAnsi="David" w:cs="David"/>
          <w:sz w:val="24"/>
          <w:szCs w:val="24"/>
          <w:rtl/>
        </w:rPr>
        <w:t>באשר להוצאות שהוצאו עבור שכ"ט עו"ד בגין בקשת הקיזוז ואגרות במסגרת ההליך קמא (21,694 ₪), הרי שמקריאת החלטת בית משפט קמא עולה כי בקשת הקיזוז והנטען בה, גם היא עמדה בין יתר השיקולים לשינוי איזון תשלום שכ"ט כונסת הנכסים ("</w:t>
      </w:r>
      <w:r>
        <w:rPr>
          <w:rFonts w:ascii="David" w:hAnsi="David" w:cs="David"/>
          <w:b/>
          <w:bCs/>
          <w:sz w:val="24"/>
          <w:szCs w:val="24"/>
          <w:rtl/>
        </w:rPr>
        <w:t xml:space="preserve">ביום 2.10.22 הגישה התובעת בקשה לעיכוב כספי המכר ולקביעת זכות קיזוז מחלקו של המשיב של ההוצאות העודפות אשר נגרמו לה. לטענת התובעת [...] התעלמותו גרמה להתאחרות המכר בשנים רבות, מינוי כונסת נכסים וההוצאות הרבות הכרוכות בכך ותשלום עבור שירותי חוקר פרטי על מנת לבצע לו מסירות. אף לאחר הנתבע אותר, הוא התעלם מפניות כונסת הנכסים </w:t>
      </w:r>
      <w:r>
        <w:rPr>
          <w:rFonts w:ascii="David" w:hAnsi="David" w:cs="David"/>
          <w:b/>
          <w:bCs/>
          <w:sz w:val="24"/>
          <w:szCs w:val="24"/>
          <w:rtl/>
        </w:rPr>
        <w:lastRenderedPageBreak/>
        <w:t xml:space="preserve">[...] ובהתעלמות זו גרם להכבדת נטל המס המוטל על העסקה. כתוצאה מכך, נגרם לה נזק כספי גדול ועגמת נפש מרובה." - </w:t>
      </w:r>
      <w:r>
        <w:rPr>
          <w:rFonts w:ascii="David" w:hAnsi="David" w:cs="David"/>
          <w:sz w:val="24"/>
          <w:szCs w:val="24"/>
          <w:rtl/>
        </w:rPr>
        <w:t>עיינו פסקה 3 להחלטת בית משפט קמא).</w:t>
      </w:r>
    </w:p>
    <w:p w:rsidR="00545020" w:rsidRDefault="00545020" w:rsidP="00545020">
      <w:pPr>
        <w:pStyle w:val="ad"/>
        <w:spacing w:line="360" w:lineRule="auto"/>
        <w:ind w:left="444"/>
        <w:jc w:val="both"/>
        <w:rPr>
          <w:rFonts w:ascii="David" w:hAnsi="David" w:cs="David"/>
          <w:sz w:val="24"/>
          <w:szCs w:val="24"/>
        </w:rPr>
      </w:pPr>
    </w:p>
    <w:p w:rsidR="00545020" w:rsidRDefault="00545020" w:rsidP="00545020">
      <w:pPr>
        <w:pStyle w:val="ad"/>
        <w:numPr>
          <w:ilvl w:val="0"/>
          <w:numId w:val="3"/>
        </w:numPr>
        <w:spacing w:line="360" w:lineRule="auto"/>
        <w:jc w:val="both"/>
        <w:rPr>
          <w:rFonts w:ascii="David" w:hAnsi="David" w:cs="David"/>
          <w:sz w:val="24"/>
          <w:szCs w:val="24"/>
        </w:rPr>
      </w:pPr>
      <w:r>
        <w:rPr>
          <w:rFonts w:ascii="David" w:hAnsi="David" w:cs="David"/>
          <w:sz w:val="24"/>
          <w:szCs w:val="24"/>
          <w:rtl/>
        </w:rPr>
        <w:t>באשר לתשלום המס לשלטונות המס (91,465 ₪), כל שצירפה המערערת זה קבלה על תשלום. המערערת לא צירפה את טופס ההצהרה שהגישה לשלטונות המס, העתק שומה וכן מסמכים נוספים מהם ניתן היה ללמוד שמדובר בתוספת מס כטענתה. עוד אוסיף כי משאישר המשיב שמדובר במכירה "אגב גירושין" (ראו הודעתו לבית משפט קמא - "</w:t>
      </w:r>
      <w:r>
        <w:rPr>
          <w:rFonts w:ascii="David" w:hAnsi="David" w:cs="David"/>
          <w:b/>
          <w:bCs/>
          <w:sz w:val="24"/>
          <w:szCs w:val="24"/>
          <w:rtl/>
        </w:rPr>
        <w:t>1. לאשר שמכירת הבית היא אכן חלק מתהליך הגירושין. 2. להורות שזו איננה עסקת מקרקעין ומיסים לא יחולו על התמורה שהתקבלה ממכירת הבית כונס הנכסים יבצע כל השינויים הנדרשים, ולקבל המיסים ששולמו"</w:t>
      </w:r>
      <w:r>
        <w:rPr>
          <w:rFonts w:ascii="David" w:hAnsi="David" w:cs="David"/>
          <w:sz w:val="24"/>
          <w:szCs w:val="24"/>
          <w:rtl/>
        </w:rPr>
        <w:t>)</w:t>
      </w:r>
      <w:r>
        <w:rPr>
          <w:rFonts w:ascii="David" w:hAnsi="David" w:cs="David"/>
          <w:b/>
          <w:bCs/>
          <w:sz w:val="24"/>
          <w:szCs w:val="24"/>
          <w:rtl/>
        </w:rPr>
        <w:t xml:space="preserve">, </w:t>
      </w:r>
      <w:r>
        <w:rPr>
          <w:rFonts w:ascii="David" w:hAnsi="David" w:cs="David"/>
          <w:sz w:val="24"/>
          <w:szCs w:val="24"/>
          <w:rtl/>
        </w:rPr>
        <w:t xml:space="preserve">ראוי היה שהמערערת תשוב ותפנה לשלטונות המס למיצוי זכויותיה, ככל ואלה קיימות לה. מכל מקום, המערערת לא צירפה כל ראיה ולא שכנעה כי מדובר בתוספת מס הנובעת אך ורק בשל מעשי המשיב או מחדליו. </w:t>
      </w:r>
    </w:p>
    <w:p w:rsidR="00545020" w:rsidRDefault="00545020" w:rsidP="00545020">
      <w:pPr>
        <w:pStyle w:val="ad"/>
        <w:spacing w:line="360" w:lineRule="auto"/>
        <w:ind w:left="444"/>
        <w:jc w:val="both"/>
        <w:rPr>
          <w:rFonts w:ascii="David" w:hAnsi="David" w:cs="David"/>
          <w:sz w:val="24"/>
          <w:szCs w:val="24"/>
        </w:rPr>
      </w:pPr>
    </w:p>
    <w:p w:rsidR="00545020" w:rsidRDefault="00545020" w:rsidP="00545020">
      <w:pPr>
        <w:pStyle w:val="ad"/>
        <w:numPr>
          <w:ilvl w:val="0"/>
          <w:numId w:val="3"/>
        </w:numPr>
        <w:spacing w:line="360" w:lineRule="auto"/>
        <w:jc w:val="both"/>
        <w:rPr>
          <w:rFonts w:ascii="David" w:hAnsi="David" w:cs="David"/>
          <w:sz w:val="24"/>
          <w:szCs w:val="24"/>
        </w:rPr>
      </w:pPr>
      <w:r>
        <w:rPr>
          <w:rFonts w:ascii="David" w:hAnsi="David" w:cs="David"/>
          <w:sz w:val="24"/>
          <w:szCs w:val="24"/>
          <w:rtl/>
        </w:rPr>
        <w:t>באשר להוצאות הנוספות בהליך קמא שנעדרו כל פירוט, אלה נדחות על הסף. באשר להוצאות הנוספות בהליך דנן, אלה נדחות גם בשל היעדר פירוט וגם לאור תוצאת הערעור.</w:t>
      </w:r>
    </w:p>
    <w:p w:rsidR="00545020" w:rsidRDefault="00545020" w:rsidP="00545020">
      <w:pPr>
        <w:pStyle w:val="ad"/>
        <w:spacing w:line="360" w:lineRule="auto"/>
        <w:ind w:left="444"/>
        <w:jc w:val="both"/>
        <w:rPr>
          <w:rFonts w:ascii="David" w:hAnsi="David" w:cs="David"/>
          <w:sz w:val="24"/>
          <w:szCs w:val="24"/>
        </w:rPr>
      </w:pPr>
    </w:p>
    <w:p w:rsidR="00545020" w:rsidRDefault="00545020" w:rsidP="0046493D">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באשר ליחס החלוקה בשכ"ט כונסת הנכסים, אינני מוצאת מקום להתערב בהחלטת בית משפט קמא, שכן מעיון בכתב התביעה שהוגש ביום 20.07.2021 נלמד כי המערערת הייתה זו שפנתה לבית המשפט בבקשה לסעד של מינוי כונס נכסים לצורך מכירת הנכס. המערערת הינה "האדון להליכים המשפטיים" שהגישה כנגד המשיב, ואין היא יכולה לבוא בטרוניה על היעתרות בית משפט קמא שקיבל את הסעד אותו ביקשה. בית משפט קמא שקל שיקוליו והגיע לתוצאה באשר לחלוקה לא שוויוניות של שכ"ט כונסת הנכסים, ולא מצאתי כי יש להתערב.</w:t>
      </w:r>
    </w:p>
    <w:p w:rsidR="00545020" w:rsidRDefault="00545020" w:rsidP="00545020">
      <w:pPr>
        <w:pStyle w:val="ad"/>
        <w:spacing w:line="360" w:lineRule="auto"/>
        <w:ind w:left="444"/>
        <w:jc w:val="both"/>
        <w:rPr>
          <w:rFonts w:ascii="David" w:hAnsi="David" w:cs="David"/>
          <w:sz w:val="24"/>
          <w:szCs w:val="24"/>
          <w:highlight w:val="yellow"/>
        </w:rPr>
      </w:pPr>
    </w:p>
    <w:p w:rsidR="00545020" w:rsidRDefault="00545020" w:rsidP="00545020">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בנוסף לאמור, מעיון בתיק בית משפט קמא נלמד כי כתב התביעה הוגש ביום 20.07.2021 וכבר ביום 27.01.2022 ניתן פסק דין בתיק על דרך חתימת פסיקתא. נוכח משך זמן ניהול ההליך מרגע הגשת כתב התביעה ועד מתן פסק הדין לא ניתן לקבוע כי התנהלות המשיב עלתה כדי שימוש לרעה בהליכי משפט, שיבוש הליכים, הטרדת המערערת באופן קשה ומתמשך וכיו"ב, כפי שטענה המערערת כנגד המשיב. ודוק, מעיון בתיק בית משפט קמא וטענות המערערת, נדמה כי המשיב אכן נמנע מלשתף פעולה בהליך שהתקיים בבית משפט קמא, אך אין הדבר שקול להכתרת המשיב בכתרי "מתנגד", "עשה שימוש לרעה בהליכי משפט" וכיו"ב.</w:t>
      </w:r>
    </w:p>
    <w:p w:rsidR="00545020" w:rsidRPr="002720CB" w:rsidRDefault="00545020" w:rsidP="00545020">
      <w:pPr>
        <w:pStyle w:val="ad"/>
        <w:spacing w:line="360" w:lineRule="auto"/>
        <w:ind w:left="84"/>
        <w:jc w:val="both"/>
        <w:rPr>
          <w:rFonts w:ascii="David" w:hAnsi="David" w:cs="David"/>
          <w:sz w:val="24"/>
          <w:szCs w:val="24"/>
        </w:rPr>
      </w:pPr>
    </w:p>
    <w:p w:rsidR="00545020" w:rsidRDefault="00545020" w:rsidP="00545020">
      <w:pPr>
        <w:pStyle w:val="ad"/>
        <w:numPr>
          <w:ilvl w:val="0"/>
          <w:numId w:val="1"/>
        </w:numPr>
        <w:spacing w:line="360" w:lineRule="auto"/>
        <w:ind w:left="368"/>
        <w:jc w:val="both"/>
        <w:rPr>
          <w:rFonts w:ascii="David" w:hAnsi="David" w:cs="David"/>
          <w:b/>
          <w:bCs/>
          <w:sz w:val="24"/>
          <w:szCs w:val="24"/>
        </w:rPr>
      </w:pPr>
      <w:r>
        <w:rPr>
          <w:rFonts w:ascii="David" w:hAnsi="David" w:cs="David"/>
          <w:b/>
          <w:bCs/>
          <w:sz w:val="24"/>
          <w:szCs w:val="24"/>
          <w:rtl/>
        </w:rPr>
        <w:t xml:space="preserve">לאחר כל אלה, דין הערעור להידחות. </w:t>
      </w:r>
    </w:p>
    <w:p w:rsidR="00545020" w:rsidRDefault="00545020" w:rsidP="00545020">
      <w:pPr>
        <w:pStyle w:val="ad"/>
        <w:spacing w:line="360" w:lineRule="auto"/>
        <w:ind w:left="84"/>
        <w:jc w:val="both"/>
        <w:rPr>
          <w:rFonts w:ascii="David" w:hAnsi="David" w:cs="David"/>
          <w:b/>
          <w:bCs/>
          <w:sz w:val="24"/>
          <w:szCs w:val="24"/>
        </w:rPr>
      </w:pPr>
    </w:p>
    <w:p w:rsidR="00545020" w:rsidRDefault="00545020" w:rsidP="00545020">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בשל היעדר תגובת המשיב, מצאתי שלא להטיל הוצאות על המערערת. ככל שהופקד פיקדון הוא יושב למפקיד באמצעות ב"כ.</w:t>
      </w:r>
    </w:p>
    <w:p w:rsidR="00545020" w:rsidRDefault="00545020" w:rsidP="00545020">
      <w:pPr>
        <w:pStyle w:val="ad"/>
        <w:spacing w:line="360" w:lineRule="auto"/>
        <w:ind w:left="368"/>
        <w:jc w:val="both"/>
        <w:rPr>
          <w:rFonts w:ascii="David" w:hAnsi="David" w:cs="David"/>
          <w:sz w:val="24"/>
          <w:szCs w:val="24"/>
        </w:rPr>
      </w:pPr>
    </w:p>
    <w:p w:rsidR="00545020" w:rsidRDefault="00545020" w:rsidP="00545020">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פסק הדין מותר לפרסום בהשמטת פרטים מזהים.</w:t>
      </w:r>
    </w:p>
    <w:p w:rsidR="00545020" w:rsidRDefault="00545020" w:rsidP="00545020">
      <w:pPr>
        <w:spacing w:line="360" w:lineRule="auto"/>
        <w:jc w:val="both"/>
        <w:rPr>
          <w:rFonts w:ascii="David" w:eastAsiaTheme="minorHAnsi" w:hAnsi="David"/>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י"ג ניסן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04 אפריל 2023</w:t>
          </w:r>
        </w:sdtContent>
      </w:sdt>
      <w:r w:rsidR="00005C8B">
        <w:rPr>
          <w:rFonts w:ascii="Arial" w:hAnsi="Arial"/>
          <w:noProof w:val="0"/>
          <w:rtl/>
        </w:rPr>
        <w:t>, בהעדר הצדדים.</w:t>
      </w:r>
    </w:p>
    <w:p w:rsidR="00C43648" w:rsidRDefault="00042FE8"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486999250"/>
        </w:sdtPr>
        <w:sdtEndPr/>
        <w:sdtContent>
          <w:r w:rsidR="00A70F1F">
            <w:drawing>
              <wp:inline distT="0" distB="0" distL="0" distR="0" wp14:editId="50D07946">
                <wp:extent cx="1352550" cy="1019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352550" cy="101917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default" r:id="rId10"/>
      <w:footerReference w:type="default" r:id="rId11"/>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2FE8" w:rsidRDefault="00042FE8">
      <w:r>
        <w:separator/>
      </w:r>
    </w:p>
  </w:endnote>
  <w:endnote w:type="continuationSeparator" w:id="0">
    <w:p w:rsidR="00042FE8" w:rsidRDefault="00042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0845E4">
      <w:rPr>
        <w:rStyle w:val="ab"/>
        <w:rFonts w:cs="Times New Roman"/>
        <w:rtl/>
      </w:rPr>
      <w:t>5</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0845E4">
      <w:rPr>
        <w:rStyle w:val="ab"/>
        <w:rtl/>
      </w:rPr>
      <w:t>5</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2FE8" w:rsidRDefault="00042FE8">
      <w:r>
        <w:separator/>
      </w:r>
    </w:p>
  </w:footnote>
  <w:footnote w:type="continuationSeparator" w:id="0">
    <w:p w:rsidR="00042FE8" w:rsidRDefault="00042F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2720CB">
      <w:trPr>
        <w:trHeight w:hRule="exact" w:val="704"/>
        <w:jc w:val="center"/>
      </w:trPr>
      <w:sdt>
        <w:sdtPr>
          <w:rPr>
            <w:rFonts w:ascii="Tahoma" w:hAnsi="Tahoma"/>
            <w:color w:val="000080"/>
            <w:sz w:val="32"/>
            <w:szCs w:val="32"/>
            <w:rtl/>
          </w:rPr>
          <w:alias w:val="1174"/>
          <w:tag w:val="1174"/>
          <w:id w:val="-1585920285"/>
          <w:text w:multiLine="1"/>
        </w:sdtPr>
        <w:sdtEndPr/>
        <w:sdtContent>
          <w:tc>
            <w:tcPr>
              <w:tcW w:w="8307" w:type="dxa"/>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rsidTr="002720CB">
      <w:trPr>
        <w:trHeight w:val="337"/>
        <w:jc w:val="center"/>
      </w:trPr>
      <w:tc>
        <w:tcPr>
          <w:tcW w:w="8307" w:type="dxa"/>
        </w:tcPr>
        <w:p w:rsidR="007D45E3" w:rsidRDefault="00042FE8" w:rsidP="00A70F1F">
          <w:pPr>
            <w:rPr>
              <w:b/>
              <w:bCs/>
              <w:noProof w:val="0"/>
              <w:sz w:val="26"/>
              <w:szCs w:val="26"/>
              <w:rtl/>
            </w:rPr>
          </w:pPr>
          <w:sdt>
            <w:sdtPr>
              <w:rPr>
                <w:rtl/>
              </w:rPr>
              <w:alias w:val="1170"/>
              <w:tag w:val="1170"/>
              <w:id w:val="1066377040"/>
              <w:text w:multiLine="1"/>
            </w:sdtPr>
            <w:sdtEndPr/>
            <w:sdtContent>
              <w:r w:rsidR="00B859C5">
                <w:rPr>
                  <w:b/>
                  <w:bCs/>
                  <w:noProof w:val="0"/>
                  <w:sz w:val="26"/>
                  <w:szCs w:val="26"/>
                  <w:rtl/>
                </w:rPr>
                <w:t>רמ"ש</w:t>
              </w:r>
            </w:sdtContent>
          </w:sdt>
          <w:r w:rsidR="00005C8B">
            <w:rPr>
              <w:b/>
              <w:bCs/>
              <w:noProof w:val="0"/>
              <w:sz w:val="26"/>
              <w:szCs w:val="26"/>
              <w:rtl/>
            </w:rPr>
            <w:t xml:space="preserve"> </w:t>
          </w:r>
          <w:sdt>
            <w:sdtPr>
              <w:rPr>
                <w:rtl/>
              </w:rPr>
              <w:alias w:val="1171"/>
              <w:tag w:val="1171"/>
              <w:id w:val="257034231"/>
              <w:text w:multiLine="1"/>
            </w:sdtPr>
            <w:sdtEndPr/>
            <w:sdtContent>
              <w:r w:rsidR="00B859C5">
                <w:rPr>
                  <w:b/>
                  <w:bCs/>
                  <w:noProof w:val="0"/>
                  <w:sz w:val="26"/>
                  <w:szCs w:val="26"/>
                  <w:rtl/>
                </w:rPr>
                <w:t>68683-02-23</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A70F1F">
                <w:rPr>
                  <w:rFonts w:hint="cs"/>
                  <w:b/>
                  <w:bCs/>
                  <w:noProof w:val="0"/>
                  <w:sz w:val="26"/>
                  <w:szCs w:val="26"/>
                  <w:rtl/>
                </w:rPr>
                <w:t>ר'</w:t>
              </w:r>
              <w:r w:rsidR="0046493D">
                <w:rPr>
                  <w:rFonts w:hint="cs"/>
                  <w:b/>
                  <w:bCs/>
                  <w:noProof w:val="0"/>
                  <w:sz w:val="26"/>
                  <w:szCs w:val="26"/>
                  <w:rtl/>
                </w:rPr>
                <w:t>-ע'</w:t>
              </w:r>
              <w:r w:rsidR="00A70F1F">
                <w:rPr>
                  <w:rFonts w:hint="cs"/>
                  <w:b/>
                  <w:bCs/>
                  <w:noProof w:val="0"/>
                  <w:sz w:val="26"/>
                  <w:szCs w:val="26"/>
                  <w:rtl/>
                </w:rPr>
                <w:t xml:space="preserve"> </w:t>
              </w:r>
              <w:r w:rsidR="00B859C5">
                <w:rPr>
                  <w:b/>
                  <w:bCs/>
                  <w:noProof w:val="0"/>
                  <w:sz w:val="26"/>
                  <w:szCs w:val="26"/>
                  <w:rtl/>
                </w:rPr>
                <w:t>נ</w:t>
              </w:r>
              <w:r w:rsidR="00A70F1F">
                <w:rPr>
                  <w:rFonts w:hint="cs"/>
                  <w:b/>
                  <w:bCs/>
                  <w:noProof w:val="0"/>
                  <w:sz w:val="26"/>
                  <w:szCs w:val="26"/>
                  <w:rtl/>
                </w:rPr>
                <w:t>גד</w:t>
              </w:r>
              <w:r w:rsidR="00B859C5">
                <w:rPr>
                  <w:b/>
                  <w:bCs/>
                  <w:noProof w:val="0"/>
                  <w:sz w:val="26"/>
                  <w:szCs w:val="26"/>
                  <w:rtl/>
                </w:rPr>
                <w:t xml:space="preserve"> ע</w:t>
              </w:r>
              <w:r w:rsidR="00A70F1F">
                <w:rPr>
                  <w:rFonts w:hint="cs"/>
                  <w:b/>
                  <w:bCs/>
                  <w:noProof w:val="0"/>
                  <w:sz w:val="26"/>
                  <w:szCs w:val="26"/>
                  <w:rtl/>
                </w:rPr>
                <w:t>'</w:t>
              </w:r>
              <w:r w:rsidR="00B859C5">
                <w:rPr>
                  <w:b/>
                  <w:bCs/>
                  <w:noProof w:val="0"/>
                  <w:sz w:val="26"/>
                  <w:szCs w:val="26"/>
                  <w:rtl/>
                </w:rPr>
                <w:t xml:space="preserve"> ואח'</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8D10B2" w:rsidRPr="00E1068A" w:rsidRDefault="001173C6" w:rsidP="007D45E3">
          <w:pPr>
            <w:rPr>
              <w:sz w:val="20"/>
              <w:szCs w:val="20"/>
              <w:rtl/>
            </w:rPr>
          </w:pPr>
          <w:r>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6719C"/>
    <w:multiLevelType w:val="hybridMultilevel"/>
    <w:tmpl w:val="F8BCC8DC"/>
    <w:lvl w:ilvl="0" w:tplc="EF9A6DF0">
      <w:numFmt w:val="bullet"/>
      <w:lvlText w:val="-"/>
      <w:lvlJc w:val="left"/>
      <w:pPr>
        <w:ind w:left="444" w:hanging="360"/>
      </w:pPr>
      <w:rPr>
        <w:rFonts w:ascii="David" w:eastAsiaTheme="minorHAnsi" w:hAnsi="David" w:cs="David" w:hint="default"/>
      </w:rPr>
    </w:lvl>
    <w:lvl w:ilvl="1" w:tplc="04090003">
      <w:start w:val="1"/>
      <w:numFmt w:val="bullet"/>
      <w:lvlText w:val="o"/>
      <w:lvlJc w:val="left"/>
      <w:pPr>
        <w:ind w:left="1164" w:hanging="360"/>
      </w:pPr>
      <w:rPr>
        <w:rFonts w:ascii="Courier New" w:hAnsi="Courier New" w:cs="Courier New" w:hint="default"/>
      </w:rPr>
    </w:lvl>
    <w:lvl w:ilvl="2" w:tplc="04090005">
      <w:start w:val="1"/>
      <w:numFmt w:val="bullet"/>
      <w:lvlText w:val=""/>
      <w:lvlJc w:val="left"/>
      <w:pPr>
        <w:ind w:left="1884" w:hanging="360"/>
      </w:pPr>
      <w:rPr>
        <w:rFonts w:ascii="Wingdings" w:hAnsi="Wingdings" w:hint="default"/>
      </w:rPr>
    </w:lvl>
    <w:lvl w:ilvl="3" w:tplc="04090001">
      <w:start w:val="1"/>
      <w:numFmt w:val="bullet"/>
      <w:lvlText w:val=""/>
      <w:lvlJc w:val="left"/>
      <w:pPr>
        <w:ind w:left="2604" w:hanging="360"/>
      </w:pPr>
      <w:rPr>
        <w:rFonts w:ascii="Symbol" w:hAnsi="Symbol" w:hint="default"/>
      </w:rPr>
    </w:lvl>
    <w:lvl w:ilvl="4" w:tplc="04090003">
      <w:start w:val="1"/>
      <w:numFmt w:val="bullet"/>
      <w:lvlText w:val="o"/>
      <w:lvlJc w:val="left"/>
      <w:pPr>
        <w:ind w:left="3324" w:hanging="360"/>
      </w:pPr>
      <w:rPr>
        <w:rFonts w:ascii="Courier New" w:hAnsi="Courier New" w:cs="Courier New" w:hint="default"/>
      </w:rPr>
    </w:lvl>
    <w:lvl w:ilvl="5" w:tplc="04090005">
      <w:start w:val="1"/>
      <w:numFmt w:val="bullet"/>
      <w:lvlText w:val=""/>
      <w:lvlJc w:val="left"/>
      <w:pPr>
        <w:ind w:left="4044" w:hanging="360"/>
      </w:pPr>
      <w:rPr>
        <w:rFonts w:ascii="Wingdings" w:hAnsi="Wingdings" w:hint="default"/>
      </w:rPr>
    </w:lvl>
    <w:lvl w:ilvl="6" w:tplc="04090001">
      <w:start w:val="1"/>
      <w:numFmt w:val="bullet"/>
      <w:lvlText w:val=""/>
      <w:lvlJc w:val="left"/>
      <w:pPr>
        <w:ind w:left="4764" w:hanging="360"/>
      </w:pPr>
      <w:rPr>
        <w:rFonts w:ascii="Symbol" w:hAnsi="Symbol" w:hint="default"/>
      </w:rPr>
    </w:lvl>
    <w:lvl w:ilvl="7" w:tplc="04090003">
      <w:start w:val="1"/>
      <w:numFmt w:val="bullet"/>
      <w:lvlText w:val="o"/>
      <w:lvlJc w:val="left"/>
      <w:pPr>
        <w:ind w:left="5484" w:hanging="360"/>
      </w:pPr>
      <w:rPr>
        <w:rFonts w:ascii="Courier New" w:hAnsi="Courier New" w:cs="Courier New" w:hint="default"/>
      </w:rPr>
    </w:lvl>
    <w:lvl w:ilvl="8" w:tplc="04090005">
      <w:start w:val="1"/>
      <w:numFmt w:val="bullet"/>
      <w:lvlText w:val=""/>
      <w:lvlJc w:val="left"/>
      <w:pPr>
        <w:ind w:left="6204" w:hanging="360"/>
      </w:pPr>
      <w:rPr>
        <w:rFonts w:ascii="Wingdings" w:hAnsi="Wingdings" w:hint="default"/>
      </w:rPr>
    </w:lvl>
  </w:abstractNum>
  <w:abstractNum w:abstractNumId="1" w15:restartNumberingAfterBreak="0">
    <w:nsid w:val="0D3441FC"/>
    <w:multiLevelType w:val="hybridMultilevel"/>
    <w:tmpl w:val="5B58A960"/>
    <w:lvl w:ilvl="0" w:tplc="3C6EC494">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53CE5DB1"/>
    <w:multiLevelType w:val="hybridMultilevel"/>
    <w:tmpl w:val="B7E0843A"/>
    <w:lvl w:ilvl="0" w:tplc="66D2EDC2">
      <w:start w:val="1"/>
      <w:numFmt w:val="decimal"/>
      <w:lvlText w:val="%1."/>
      <w:lvlJc w:val="left"/>
      <w:pPr>
        <w:ind w:left="720" w:hanging="360"/>
      </w:pPr>
      <w:rPr>
        <w:rFonts w:ascii="Arial" w:hAnsi="Arial" w:hint="default"/>
        <w:b/>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FEF7327"/>
    <w:multiLevelType w:val="hybridMultilevel"/>
    <w:tmpl w:val="4F22581E"/>
    <w:lvl w:ilvl="0" w:tplc="6058801C">
      <w:start w:val="3"/>
      <w:numFmt w:val="bullet"/>
      <w:lvlText w:val="-"/>
      <w:lvlJc w:val="left"/>
      <w:pPr>
        <w:ind w:left="1080" w:hanging="360"/>
      </w:pPr>
      <w:rPr>
        <w:rFonts w:ascii="David" w:eastAsia="Times New Roman" w:hAnsi="David" w:cs="David"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42FE8"/>
    <w:rsid w:val="000529D2"/>
    <w:rsid w:val="000564AB"/>
    <w:rsid w:val="00064FBD"/>
    <w:rsid w:val="00082AB2"/>
    <w:rsid w:val="000845E4"/>
    <w:rsid w:val="000906FE"/>
    <w:rsid w:val="00096AF7"/>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80519"/>
    <w:rsid w:val="00191C82"/>
    <w:rsid w:val="001C4003"/>
    <w:rsid w:val="001D4DBF"/>
    <w:rsid w:val="001E75CA"/>
    <w:rsid w:val="002265FF"/>
    <w:rsid w:val="00271B56"/>
    <w:rsid w:val="002720CB"/>
    <w:rsid w:val="00272E32"/>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D1C8C"/>
    <w:rsid w:val="003E38C7"/>
    <w:rsid w:val="0040096C"/>
    <w:rsid w:val="00414F1F"/>
    <w:rsid w:val="0043125D"/>
    <w:rsid w:val="0043502B"/>
    <w:rsid w:val="004443AC"/>
    <w:rsid w:val="00444B02"/>
    <w:rsid w:val="00451E28"/>
    <w:rsid w:val="00462C62"/>
    <w:rsid w:val="0046493D"/>
    <w:rsid w:val="00465D36"/>
    <w:rsid w:val="004C17EE"/>
    <w:rsid w:val="004C4BDF"/>
    <w:rsid w:val="004D1187"/>
    <w:rsid w:val="004D3AA0"/>
    <w:rsid w:val="004E1987"/>
    <w:rsid w:val="004E2E15"/>
    <w:rsid w:val="004E6E3C"/>
    <w:rsid w:val="00520898"/>
    <w:rsid w:val="00523621"/>
    <w:rsid w:val="00524986"/>
    <w:rsid w:val="005268F6"/>
    <w:rsid w:val="00534284"/>
    <w:rsid w:val="00545020"/>
    <w:rsid w:val="00547DB7"/>
    <w:rsid w:val="00557717"/>
    <w:rsid w:val="00576A86"/>
    <w:rsid w:val="005F2A4E"/>
    <w:rsid w:val="005F4F09"/>
    <w:rsid w:val="00603F73"/>
    <w:rsid w:val="0061431B"/>
    <w:rsid w:val="00622BAA"/>
    <w:rsid w:val="006306CF"/>
    <w:rsid w:val="00644E9A"/>
    <w:rsid w:val="00671BD5"/>
    <w:rsid w:val="006805C1"/>
    <w:rsid w:val="00686C21"/>
    <w:rsid w:val="006931C1"/>
    <w:rsid w:val="00694556"/>
    <w:rsid w:val="006C30C5"/>
    <w:rsid w:val="006D3B31"/>
    <w:rsid w:val="006E0D96"/>
    <w:rsid w:val="006E1A53"/>
    <w:rsid w:val="006F56E6"/>
    <w:rsid w:val="00704EDA"/>
    <w:rsid w:val="00721122"/>
    <w:rsid w:val="00734689"/>
    <w:rsid w:val="007351F7"/>
    <w:rsid w:val="00753019"/>
    <w:rsid w:val="00754801"/>
    <w:rsid w:val="00761441"/>
    <w:rsid w:val="00795365"/>
    <w:rsid w:val="007A351D"/>
    <w:rsid w:val="007B7765"/>
    <w:rsid w:val="007C2453"/>
    <w:rsid w:val="007C5BDD"/>
    <w:rsid w:val="007D45E3"/>
    <w:rsid w:val="007E50BC"/>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366"/>
    <w:rsid w:val="00891F42"/>
    <w:rsid w:val="00896889"/>
    <w:rsid w:val="008A6E97"/>
    <w:rsid w:val="008C5714"/>
    <w:rsid w:val="008D10B2"/>
    <w:rsid w:val="00903896"/>
    <w:rsid w:val="00906F3D"/>
    <w:rsid w:val="00941460"/>
    <w:rsid w:val="0094424E"/>
    <w:rsid w:val="00955642"/>
    <w:rsid w:val="009622DF"/>
    <w:rsid w:val="0096493F"/>
    <w:rsid w:val="00967DFF"/>
    <w:rsid w:val="00994341"/>
    <w:rsid w:val="009D1A48"/>
    <w:rsid w:val="009E1CE7"/>
    <w:rsid w:val="009E461A"/>
    <w:rsid w:val="009E4EA5"/>
    <w:rsid w:val="009F164B"/>
    <w:rsid w:val="009F323C"/>
    <w:rsid w:val="00A3392B"/>
    <w:rsid w:val="00A46717"/>
    <w:rsid w:val="00A70F1F"/>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642FA"/>
    <w:rsid w:val="00C770E3"/>
    <w:rsid w:val="00CC7622"/>
    <w:rsid w:val="00CD608F"/>
    <w:rsid w:val="00CF6BB7"/>
    <w:rsid w:val="00D04AA4"/>
    <w:rsid w:val="00D27982"/>
    <w:rsid w:val="00D33B86"/>
    <w:rsid w:val="00D44968"/>
    <w:rsid w:val="00D53924"/>
    <w:rsid w:val="00D55D0C"/>
    <w:rsid w:val="00D96D8C"/>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80CBE"/>
    <w:rsid w:val="00E9269D"/>
    <w:rsid w:val="00E962E3"/>
    <w:rsid w:val="00EB6C79"/>
    <w:rsid w:val="00EC37E9"/>
    <w:rsid w:val="00EC38F4"/>
    <w:rsid w:val="00F038D8"/>
    <w:rsid w:val="00F06995"/>
    <w:rsid w:val="00F12D66"/>
    <w:rsid w:val="00F13623"/>
    <w:rsid w:val="00F44D1D"/>
    <w:rsid w:val="00F84B6D"/>
    <w:rsid w:val="00F957E8"/>
    <w:rsid w:val="00FA23A2"/>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545020"/>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11176976">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280098" w:rsidP="00280098">
          <w:pPr>
            <w:pStyle w:val="E460D38E05664FF79D4EFF282EF8EC9926"/>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817811" w:rsidP="00817811">
          <w:pPr>
            <w:pStyle w:val="F5EF4663D5094D57BB3FEC6B89CF5C8E3"/>
          </w:pPr>
          <w:r>
            <w:rPr>
              <w:b/>
              <w:bCs/>
              <w:noProof w:val="0"/>
              <w:sz w:val="26"/>
              <w:szCs w:val="26"/>
              <w:rtl/>
            </w:rPr>
            <w:t>שם תיק ללא שמות חסויים</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817811" w:rsidP="00817811">
          <w:pPr>
            <w:pStyle w:val="C3B0FBA23B684176B12DDEEA2C39785F3"/>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280098"/>
    <w:rsid w:val="002D02C4"/>
    <w:rsid w:val="00345C9D"/>
    <w:rsid w:val="004543F0"/>
    <w:rsid w:val="0048651F"/>
    <w:rsid w:val="005157ED"/>
    <w:rsid w:val="005171E8"/>
    <w:rsid w:val="00556D67"/>
    <w:rsid w:val="00793995"/>
    <w:rsid w:val="007C6F98"/>
    <w:rsid w:val="007E254A"/>
    <w:rsid w:val="00817811"/>
    <w:rsid w:val="008B4366"/>
    <w:rsid w:val="009133C7"/>
    <w:rsid w:val="009178E4"/>
    <w:rsid w:val="00961B27"/>
    <w:rsid w:val="009A4BEE"/>
    <w:rsid w:val="00A51CA1"/>
    <w:rsid w:val="00AA7CE3"/>
    <w:rsid w:val="00AD53D7"/>
    <w:rsid w:val="00B42ADD"/>
    <w:rsid w:val="00B50DB2"/>
    <w:rsid w:val="00B678D3"/>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80098"/>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280098"/>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6E59F7-D889-4891-A8F5-63ADD422A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1337</Words>
  <Characters>6686</Characters>
  <Application>Microsoft Office Word</Application>
  <DocSecurity>0</DocSecurity>
  <Lines>55</Lines>
  <Paragraphs>16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טטרואשוילי</cp:lastModifiedBy>
  <cp:revision>2</cp:revision>
  <dcterms:created xsi:type="dcterms:W3CDTF">2023-04-24T12:30:00Z</dcterms:created>
  <dcterms:modified xsi:type="dcterms:W3CDTF">2023-04-24T12:30:00Z</dcterms:modified>
</cp:coreProperties>
</file>